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D60872" w:rsidRPr="00D60872">
        <w:rPr>
          <w:rFonts w:eastAsia="黑体" w:hint="eastAsia"/>
          <w:b/>
          <w:sz w:val="28"/>
          <w:szCs w:val="28"/>
        </w:rPr>
        <w:t>沪渝蓉高速铁路重庆至成都段十陵南站等</w:t>
      </w:r>
      <w:r w:rsidR="00D60872">
        <w:rPr>
          <w:rFonts w:eastAsia="黑体" w:hint="eastAsia"/>
          <w:b/>
          <w:sz w:val="28"/>
          <w:szCs w:val="28"/>
        </w:rPr>
        <w:t>3</w:t>
      </w:r>
      <w:r w:rsidR="00D60872" w:rsidRPr="00D60872">
        <w:rPr>
          <w:rFonts w:eastAsia="黑体" w:hint="eastAsia"/>
          <w:b/>
          <w:sz w:val="28"/>
          <w:szCs w:val="28"/>
        </w:rPr>
        <w:t>座</w:t>
      </w:r>
      <w:r w:rsidR="00D60872">
        <w:rPr>
          <w:rFonts w:eastAsia="黑体" w:hint="eastAsia"/>
          <w:b/>
          <w:sz w:val="28"/>
          <w:szCs w:val="28"/>
        </w:rPr>
        <w:t>客站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8415C6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补充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D60872">
        <w:rPr>
          <w:rFonts w:eastAsia="黑体" w:hint="eastAsia"/>
          <w:sz w:val="28"/>
          <w:szCs w:val="28"/>
        </w:rPr>
        <w:t>1</w:t>
      </w:r>
      <w:r w:rsidR="00C9575E">
        <w:rPr>
          <w:rFonts w:eastAsia="黑体" w:hint="eastAsia"/>
          <w:sz w:val="28"/>
          <w:szCs w:val="28"/>
        </w:rPr>
        <w:t>年</w:t>
      </w:r>
      <w:r w:rsidR="00F546A1">
        <w:rPr>
          <w:rFonts w:eastAsia="黑体" w:hint="eastAsia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月</w:t>
      </w:r>
      <w:r w:rsidR="00F546A1">
        <w:rPr>
          <w:rFonts w:eastAsia="黑体" w:hint="eastAsia"/>
          <w:sz w:val="28"/>
          <w:szCs w:val="28"/>
        </w:rPr>
        <w:t>5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D60872" w:rsidRPr="00725501">
        <w:rPr>
          <w:rFonts w:ascii="黑体" w:eastAsia="黑体" w:hAnsi="宋体" w:hint="eastAsia"/>
          <w:sz w:val="28"/>
          <w:szCs w:val="28"/>
        </w:rPr>
        <w:t>沪渝蓉高速铁路重庆至成都段十陵南站等3座客站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8415C6">
        <w:rPr>
          <w:rFonts w:ascii="黑体" w:eastAsia="黑体" w:hAnsi="宋体" w:hint="eastAsia"/>
          <w:sz w:val="28"/>
          <w:szCs w:val="28"/>
        </w:rPr>
        <w:t>补充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961BD" w:rsidRPr="007D7FD5" w:rsidRDefault="007D7FD5" w:rsidP="007D7FD5">
      <w:pPr>
        <w:pStyle w:val="a6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D7FD5">
        <w:rPr>
          <w:rFonts w:ascii="Times New Roman" w:hAnsi="Times New Roman" w:hint="eastAsia"/>
          <w:sz w:val="24"/>
          <w:szCs w:val="24"/>
        </w:rPr>
        <w:lastRenderedPageBreak/>
        <w:t>由于本项目</w:t>
      </w:r>
      <w:r>
        <w:rPr>
          <w:rFonts w:ascii="Times New Roman" w:hAnsi="Times New Roman" w:hint="eastAsia"/>
          <w:sz w:val="24"/>
          <w:szCs w:val="24"/>
        </w:rPr>
        <w:t>包</w:t>
      </w:r>
      <w:r w:rsidRPr="007D7FD5">
        <w:rPr>
          <w:rFonts w:ascii="Times New Roman" w:hAnsi="Times New Roman" w:hint="eastAsia"/>
          <w:sz w:val="24"/>
          <w:szCs w:val="24"/>
        </w:rPr>
        <w:t>设计内容</w:t>
      </w:r>
      <w:r>
        <w:rPr>
          <w:rFonts w:ascii="Times New Roman" w:hAnsi="Times New Roman" w:hint="eastAsia"/>
          <w:sz w:val="24"/>
          <w:szCs w:val="24"/>
        </w:rPr>
        <w:t>、</w:t>
      </w:r>
      <w:r w:rsidRPr="007D7FD5">
        <w:rPr>
          <w:rFonts w:ascii="Times New Roman" w:hAnsi="Times New Roman" w:hint="eastAsia"/>
          <w:sz w:val="24"/>
          <w:szCs w:val="24"/>
        </w:rPr>
        <w:t>设计规模有巨大调整，现将本项目</w:t>
      </w:r>
      <w:r>
        <w:rPr>
          <w:rFonts w:ascii="Times New Roman" w:hAnsi="Times New Roman" w:hint="eastAsia"/>
          <w:sz w:val="24"/>
          <w:szCs w:val="24"/>
        </w:rPr>
        <w:t>包进行拆分</w:t>
      </w:r>
      <w:r w:rsidR="004E40FB">
        <w:rPr>
          <w:rFonts w:ascii="Times New Roman" w:hAnsi="Times New Roman" w:hint="eastAsia"/>
          <w:sz w:val="24"/>
          <w:szCs w:val="24"/>
        </w:rPr>
        <w:t>，形成以下两个项目包：</w:t>
      </w:r>
    </w:p>
    <w:p w:rsidR="007D7FD5" w:rsidRPr="007D7FD5" w:rsidRDefault="007D7FD5" w:rsidP="00936E20">
      <w:pPr>
        <w:tabs>
          <w:tab w:val="left" w:pos="3690"/>
        </w:tabs>
        <w:spacing w:beforeLines="50" w:afterLines="50" w:line="360" w:lineRule="auto"/>
        <w:ind w:firstLineChars="200" w:firstLine="480"/>
        <w:rPr>
          <w:sz w:val="24"/>
        </w:rPr>
      </w:pPr>
      <w:r w:rsidRPr="007D7FD5">
        <w:rPr>
          <w:rFonts w:hint="eastAsia"/>
          <w:sz w:val="24"/>
        </w:rPr>
        <w:t>项目一</w:t>
      </w:r>
      <w:r w:rsidR="004E40FB">
        <w:rPr>
          <w:rFonts w:hint="eastAsia"/>
          <w:sz w:val="24"/>
        </w:rPr>
        <w:t>包</w:t>
      </w:r>
      <w:r w:rsidRPr="007D7FD5">
        <w:rPr>
          <w:rFonts w:hint="eastAsia"/>
          <w:sz w:val="24"/>
        </w:rPr>
        <w:t>：新建沪渝蓉高速铁路重庆至成都段十陵南站</w:t>
      </w:r>
      <w:r w:rsidR="009A6E1E" w:rsidRPr="009A6E1E">
        <w:rPr>
          <w:rFonts w:hint="eastAsia"/>
          <w:sz w:val="24"/>
        </w:rPr>
        <w:t>站房暨</w:t>
      </w:r>
      <w:r w:rsidR="004E40FB">
        <w:rPr>
          <w:rFonts w:hint="eastAsia"/>
          <w:sz w:val="24"/>
        </w:rPr>
        <w:t>TOD</w:t>
      </w:r>
      <w:r w:rsidR="004E40FB">
        <w:rPr>
          <w:rFonts w:hint="eastAsia"/>
          <w:sz w:val="24"/>
        </w:rPr>
        <w:t>项目一体化设计与安岳站</w:t>
      </w:r>
      <w:r w:rsidRPr="007D7FD5">
        <w:rPr>
          <w:rFonts w:hint="eastAsia"/>
          <w:sz w:val="24"/>
        </w:rPr>
        <w:t>建筑概念设计方案。</w:t>
      </w:r>
    </w:p>
    <w:p w:rsidR="007D7FD5" w:rsidRPr="007D7FD5" w:rsidRDefault="007D7FD5" w:rsidP="00936E20">
      <w:pPr>
        <w:tabs>
          <w:tab w:val="left" w:pos="3690"/>
        </w:tabs>
        <w:spacing w:beforeLines="50" w:afterLines="50" w:line="360" w:lineRule="auto"/>
        <w:ind w:firstLineChars="200" w:firstLine="480"/>
        <w:rPr>
          <w:sz w:val="24"/>
        </w:rPr>
      </w:pPr>
      <w:r w:rsidRPr="007D7FD5">
        <w:rPr>
          <w:rFonts w:hint="eastAsia"/>
          <w:sz w:val="24"/>
        </w:rPr>
        <w:t>项目二</w:t>
      </w:r>
      <w:r w:rsidR="004E40FB">
        <w:rPr>
          <w:rFonts w:hint="eastAsia"/>
          <w:sz w:val="24"/>
        </w:rPr>
        <w:t>包</w:t>
      </w:r>
      <w:r w:rsidRPr="007D7FD5">
        <w:rPr>
          <w:rFonts w:hint="eastAsia"/>
          <w:sz w:val="24"/>
        </w:rPr>
        <w:t>：新建沪渝蓉高速铁路重庆至成都段</w:t>
      </w:r>
      <w:r w:rsidRPr="007D7FD5">
        <w:rPr>
          <w:rFonts w:hAnsi="宋体" w:hint="eastAsia"/>
          <w:sz w:val="24"/>
        </w:rPr>
        <w:t>简州</w:t>
      </w:r>
      <w:r w:rsidRPr="007D7FD5">
        <w:rPr>
          <w:rFonts w:hint="eastAsia"/>
          <w:sz w:val="24"/>
        </w:rPr>
        <w:t>站</w:t>
      </w:r>
      <w:r w:rsidR="004E40FB">
        <w:rPr>
          <w:rFonts w:hint="eastAsia"/>
          <w:sz w:val="24"/>
        </w:rPr>
        <w:t>站房暨站城融合发展区</w:t>
      </w:r>
      <w:r w:rsidRPr="007D7FD5">
        <w:rPr>
          <w:rFonts w:hint="eastAsia"/>
          <w:sz w:val="24"/>
        </w:rPr>
        <w:t>概念设计方案。</w:t>
      </w:r>
    </w:p>
    <w:p w:rsidR="008775DD" w:rsidRPr="003F78E1" w:rsidRDefault="00F546A1" w:rsidP="00C9662F">
      <w:pPr>
        <w:pStyle w:val="a6"/>
        <w:spacing w:line="360" w:lineRule="auto"/>
        <w:ind w:left="360" w:firstLineChars="0" w:firstLine="0"/>
        <w:rPr>
          <w:sz w:val="24"/>
          <w:szCs w:val="24"/>
        </w:rPr>
      </w:pPr>
      <w:r w:rsidRPr="007D7FD5">
        <w:rPr>
          <w:rFonts w:hint="eastAsia"/>
          <w:sz w:val="24"/>
        </w:rPr>
        <w:t>项目一</w:t>
      </w:r>
      <w:r>
        <w:rPr>
          <w:rFonts w:hint="eastAsia"/>
          <w:sz w:val="24"/>
        </w:rPr>
        <w:t>包</w:t>
      </w:r>
      <w:r w:rsidR="003F78E1">
        <w:rPr>
          <w:rFonts w:hint="eastAsia"/>
          <w:sz w:val="24"/>
          <w:szCs w:val="24"/>
        </w:rPr>
        <w:t>补充内容</w:t>
      </w:r>
      <w:r w:rsidR="008415C6">
        <w:rPr>
          <w:rFonts w:hint="eastAsia"/>
          <w:sz w:val="24"/>
          <w:szCs w:val="24"/>
        </w:rPr>
        <w:t>以附件形式发放，请与原征集文件核对，</w:t>
      </w:r>
      <w:r w:rsidR="009A6E1E">
        <w:rPr>
          <w:rFonts w:hint="eastAsia"/>
          <w:sz w:val="24"/>
          <w:szCs w:val="24"/>
        </w:rPr>
        <w:t>以此</w:t>
      </w:r>
      <w:r w:rsidR="008415C6">
        <w:rPr>
          <w:rFonts w:hint="eastAsia"/>
          <w:sz w:val="24"/>
          <w:szCs w:val="24"/>
        </w:rPr>
        <w:t>次补充文件为准</w:t>
      </w:r>
      <w:r w:rsidR="003F78E1">
        <w:rPr>
          <w:rFonts w:hint="eastAsia"/>
          <w:sz w:val="24"/>
          <w:szCs w:val="24"/>
        </w:rPr>
        <w:t>。</w:t>
      </w:r>
    </w:p>
    <w:p w:rsidR="008775DD" w:rsidRPr="007D7FD5" w:rsidRDefault="00F546A1" w:rsidP="008775DD">
      <w:pPr>
        <w:pStyle w:val="a6"/>
        <w:spacing w:line="360" w:lineRule="auto"/>
        <w:ind w:left="360" w:firstLineChars="0" w:firstLine="0"/>
        <w:rPr>
          <w:sz w:val="24"/>
          <w:szCs w:val="24"/>
        </w:rPr>
      </w:pPr>
      <w:r w:rsidRPr="007D7FD5">
        <w:rPr>
          <w:rFonts w:hint="eastAsia"/>
          <w:sz w:val="24"/>
        </w:rPr>
        <w:t>项目二</w:t>
      </w:r>
      <w:r>
        <w:rPr>
          <w:rFonts w:hint="eastAsia"/>
          <w:sz w:val="24"/>
        </w:rPr>
        <w:t>包补充内容在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日前发放</w:t>
      </w:r>
      <w:r w:rsidR="00936E20">
        <w:rPr>
          <w:rFonts w:hint="eastAsia"/>
          <w:sz w:val="24"/>
        </w:rPr>
        <w:t>，递交应征设计文件时间与项目一包相同</w:t>
      </w:r>
      <w:r>
        <w:rPr>
          <w:rFonts w:hint="eastAsia"/>
          <w:sz w:val="24"/>
        </w:rPr>
        <w:t>。</w:t>
      </w: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8415C6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附件</w:t>
      </w:r>
      <w:r w:rsidR="002F0FCE">
        <w:rPr>
          <w:rFonts w:hint="eastAsia"/>
          <w:sz w:val="24"/>
        </w:rPr>
        <w:t>：</w:t>
      </w:r>
    </w:p>
    <w:p w:rsidR="00C06857" w:rsidRDefault="003F78E1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3F78E1">
        <w:rPr>
          <w:rFonts w:hint="eastAsia"/>
          <w:sz w:val="24"/>
        </w:rPr>
        <w:t>新建沪渝蓉高速铁路重庆至成都段十陵南站</w:t>
      </w:r>
      <w:r w:rsidR="009A6E1E" w:rsidRPr="009A6E1E">
        <w:rPr>
          <w:rFonts w:ascii="Times New Roman" w:hAnsi="Times New Roman" w:hint="eastAsia"/>
          <w:sz w:val="24"/>
          <w:szCs w:val="24"/>
        </w:rPr>
        <w:t>站房暨</w:t>
      </w:r>
      <w:r w:rsidRPr="003F78E1">
        <w:rPr>
          <w:rFonts w:hint="eastAsia"/>
          <w:sz w:val="24"/>
        </w:rPr>
        <w:t>TOD</w:t>
      </w:r>
      <w:r w:rsidRPr="003F78E1">
        <w:rPr>
          <w:rFonts w:hint="eastAsia"/>
          <w:sz w:val="24"/>
        </w:rPr>
        <w:t>项目一体化设计与安岳站建筑概念设计方案征集</w:t>
      </w:r>
      <w:r w:rsidR="008415C6">
        <w:rPr>
          <w:rFonts w:hint="eastAsia"/>
          <w:sz w:val="24"/>
        </w:rPr>
        <w:t>补充文件</w:t>
      </w:r>
    </w:p>
    <w:p w:rsidR="00C85F1D" w:rsidRPr="00C85F1D" w:rsidRDefault="00C85F1D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C85F1D">
        <w:rPr>
          <w:rFonts w:hint="eastAsia"/>
          <w:sz w:val="24"/>
        </w:rPr>
        <w:t>保密承诺书</w:t>
      </w:r>
    </w:p>
    <w:p w:rsidR="00511F72" w:rsidRDefault="00C85F1D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C85F1D">
        <w:rPr>
          <w:rFonts w:hint="eastAsia"/>
          <w:sz w:val="24"/>
        </w:rPr>
        <w:t>应征人承诺书</w:t>
      </w:r>
    </w:p>
    <w:p w:rsidR="00C85F1D" w:rsidRPr="003F78E1" w:rsidRDefault="00C85F1D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F65E22">
        <w:rPr>
          <w:rFonts w:hint="eastAsia"/>
          <w:sz w:val="24"/>
        </w:rPr>
        <w:t>十陵南站</w:t>
      </w:r>
      <w:r w:rsidRPr="00F65E22">
        <w:rPr>
          <w:rFonts w:hint="eastAsia"/>
          <w:sz w:val="24"/>
        </w:rPr>
        <w:t>TOD</w:t>
      </w:r>
      <w:r w:rsidRPr="00F65E22">
        <w:rPr>
          <w:rFonts w:hint="eastAsia"/>
          <w:sz w:val="24"/>
        </w:rPr>
        <w:t>项目一体化设计的合同条款及格式</w:t>
      </w:r>
    </w:p>
    <w:p w:rsidR="003F78E1" w:rsidRDefault="00952153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952153">
        <w:rPr>
          <w:rFonts w:hint="eastAsia"/>
          <w:sz w:val="24"/>
        </w:rPr>
        <w:t>TOD</w:t>
      </w:r>
      <w:r w:rsidRPr="00952153">
        <w:rPr>
          <w:rFonts w:hint="eastAsia"/>
          <w:sz w:val="24"/>
        </w:rPr>
        <w:t>项目用地范围及控规</w:t>
      </w:r>
    </w:p>
    <w:p w:rsidR="00952153" w:rsidRDefault="00952153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952153">
        <w:rPr>
          <w:rFonts w:hint="eastAsia"/>
          <w:sz w:val="24"/>
        </w:rPr>
        <w:t>TOD</w:t>
      </w:r>
      <w:r w:rsidRPr="00952153">
        <w:rPr>
          <w:rFonts w:hint="eastAsia"/>
          <w:sz w:val="24"/>
        </w:rPr>
        <w:t>项目用地范围内现状地形图（暂由现状影像图替代）</w:t>
      </w:r>
    </w:p>
    <w:p w:rsidR="00952153" w:rsidRDefault="00952153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952153">
        <w:rPr>
          <w:rFonts w:hint="eastAsia"/>
          <w:sz w:val="24"/>
        </w:rPr>
        <w:t>TOD</w:t>
      </w:r>
      <w:r w:rsidRPr="00952153">
        <w:rPr>
          <w:rFonts w:hint="eastAsia"/>
          <w:sz w:val="24"/>
        </w:rPr>
        <w:t>项目所在地铁线网图及客流预测</w:t>
      </w:r>
    </w:p>
    <w:p w:rsidR="00952153" w:rsidRDefault="00952153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952153">
        <w:rPr>
          <w:rFonts w:hint="eastAsia"/>
          <w:sz w:val="24"/>
        </w:rPr>
        <w:t>成都市轨道交通场站一体化设计导则</w:t>
      </w:r>
    </w:p>
    <w:p w:rsidR="00952153" w:rsidRDefault="00952153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952153">
        <w:rPr>
          <w:rFonts w:hint="eastAsia"/>
          <w:sz w:val="24"/>
        </w:rPr>
        <w:t>成都市总体规划（公示版）</w:t>
      </w:r>
    </w:p>
    <w:p w:rsidR="00952153" w:rsidRDefault="00952153" w:rsidP="00936E20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952153">
        <w:rPr>
          <w:rFonts w:hint="eastAsia"/>
          <w:sz w:val="24"/>
        </w:rPr>
        <w:t>成都市产业发展白皮书</w:t>
      </w:r>
    </w:p>
    <w:p w:rsidR="00952153" w:rsidRPr="003F78E1" w:rsidRDefault="00952153" w:rsidP="00FA043D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952153">
        <w:rPr>
          <w:rFonts w:hint="eastAsia"/>
          <w:sz w:val="24"/>
        </w:rPr>
        <w:t>策划报告</w:t>
      </w:r>
    </w:p>
    <w:sectPr w:rsidR="00952153" w:rsidRPr="003F78E1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0A" w:rsidRDefault="00E2350A" w:rsidP="0068361F">
      <w:r>
        <w:separator/>
      </w:r>
    </w:p>
  </w:endnote>
  <w:endnote w:type="continuationSeparator" w:id="0">
    <w:p w:rsidR="00E2350A" w:rsidRDefault="00E2350A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FA043D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FA043D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E20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0A" w:rsidRDefault="00E2350A" w:rsidP="0068361F">
      <w:r>
        <w:separator/>
      </w:r>
    </w:p>
  </w:footnote>
  <w:footnote w:type="continuationSeparator" w:id="0">
    <w:p w:rsidR="00E2350A" w:rsidRDefault="00E2350A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F85D72"/>
    <w:multiLevelType w:val="hybridMultilevel"/>
    <w:tmpl w:val="328CA9CA"/>
    <w:lvl w:ilvl="0" w:tplc="851A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71869"/>
    <w:rsid w:val="001801D1"/>
    <w:rsid w:val="00184033"/>
    <w:rsid w:val="0019284A"/>
    <w:rsid w:val="001A763D"/>
    <w:rsid w:val="001C073D"/>
    <w:rsid w:val="001C1E15"/>
    <w:rsid w:val="001C1F60"/>
    <w:rsid w:val="001C50F7"/>
    <w:rsid w:val="00202512"/>
    <w:rsid w:val="00203852"/>
    <w:rsid w:val="00207A60"/>
    <w:rsid w:val="00215DB7"/>
    <w:rsid w:val="002252C4"/>
    <w:rsid w:val="002260E4"/>
    <w:rsid w:val="00251D2E"/>
    <w:rsid w:val="0026107C"/>
    <w:rsid w:val="00263100"/>
    <w:rsid w:val="002719DB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56111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3E51DE"/>
    <w:rsid w:val="003F78E1"/>
    <w:rsid w:val="004124EA"/>
    <w:rsid w:val="00427E5D"/>
    <w:rsid w:val="0043252F"/>
    <w:rsid w:val="00441D0E"/>
    <w:rsid w:val="004468F2"/>
    <w:rsid w:val="00452848"/>
    <w:rsid w:val="0048279F"/>
    <w:rsid w:val="00483927"/>
    <w:rsid w:val="0049698E"/>
    <w:rsid w:val="004A2097"/>
    <w:rsid w:val="004A2176"/>
    <w:rsid w:val="004A2F5B"/>
    <w:rsid w:val="004D10F6"/>
    <w:rsid w:val="004D1C59"/>
    <w:rsid w:val="004E40FB"/>
    <w:rsid w:val="004E67CD"/>
    <w:rsid w:val="004F0426"/>
    <w:rsid w:val="004F359C"/>
    <w:rsid w:val="005047CF"/>
    <w:rsid w:val="00506E9F"/>
    <w:rsid w:val="00507E29"/>
    <w:rsid w:val="00511F72"/>
    <w:rsid w:val="0051223F"/>
    <w:rsid w:val="0051544F"/>
    <w:rsid w:val="00525067"/>
    <w:rsid w:val="00525B37"/>
    <w:rsid w:val="005336B5"/>
    <w:rsid w:val="00581C0E"/>
    <w:rsid w:val="00583826"/>
    <w:rsid w:val="00591F34"/>
    <w:rsid w:val="005975FA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0B11"/>
    <w:rsid w:val="0072550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D7FD5"/>
    <w:rsid w:val="007E3407"/>
    <w:rsid w:val="007F02B3"/>
    <w:rsid w:val="008210A0"/>
    <w:rsid w:val="00824744"/>
    <w:rsid w:val="00832118"/>
    <w:rsid w:val="00841415"/>
    <w:rsid w:val="008415C6"/>
    <w:rsid w:val="00863CD9"/>
    <w:rsid w:val="00875524"/>
    <w:rsid w:val="008775DD"/>
    <w:rsid w:val="00883DA9"/>
    <w:rsid w:val="00884705"/>
    <w:rsid w:val="008906E0"/>
    <w:rsid w:val="008908E4"/>
    <w:rsid w:val="008A1B05"/>
    <w:rsid w:val="008B736B"/>
    <w:rsid w:val="008C32AD"/>
    <w:rsid w:val="008E1A6E"/>
    <w:rsid w:val="008E4874"/>
    <w:rsid w:val="00906AFE"/>
    <w:rsid w:val="00926DCB"/>
    <w:rsid w:val="00936E20"/>
    <w:rsid w:val="009418E8"/>
    <w:rsid w:val="00952153"/>
    <w:rsid w:val="00974093"/>
    <w:rsid w:val="00974548"/>
    <w:rsid w:val="009775B0"/>
    <w:rsid w:val="009A680C"/>
    <w:rsid w:val="009A6E1E"/>
    <w:rsid w:val="009E48E5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161B"/>
    <w:rsid w:val="00AA6D4E"/>
    <w:rsid w:val="00AC2A7D"/>
    <w:rsid w:val="00AD6333"/>
    <w:rsid w:val="00AE1808"/>
    <w:rsid w:val="00AE1AAF"/>
    <w:rsid w:val="00AF0C27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85F1D"/>
    <w:rsid w:val="00C9575E"/>
    <w:rsid w:val="00C9662F"/>
    <w:rsid w:val="00CA2D9E"/>
    <w:rsid w:val="00CA70D8"/>
    <w:rsid w:val="00CD4EAC"/>
    <w:rsid w:val="00CE5C47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E01510"/>
    <w:rsid w:val="00E2350A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EF6AA7"/>
    <w:rsid w:val="00F0011B"/>
    <w:rsid w:val="00F155BC"/>
    <w:rsid w:val="00F26C34"/>
    <w:rsid w:val="00F4162D"/>
    <w:rsid w:val="00F42BB6"/>
    <w:rsid w:val="00F52BC4"/>
    <w:rsid w:val="00F546A1"/>
    <w:rsid w:val="00F65E22"/>
    <w:rsid w:val="00F70721"/>
    <w:rsid w:val="00F74CD5"/>
    <w:rsid w:val="00FA043D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9F2B-5556-41A4-879A-2110FCBF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27</cp:revision>
  <cp:lastPrinted>2018-08-03T02:13:00Z</cp:lastPrinted>
  <dcterms:created xsi:type="dcterms:W3CDTF">2019-03-25T06:23:00Z</dcterms:created>
  <dcterms:modified xsi:type="dcterms:W3CDTF">2021-03-04T07:18:00Z</dcterms:modified>
</cp:coreProperties>
</file>